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0E3BCFDE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3A164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738346B0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27A229ED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132F3E5E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24A40FFC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16786AC0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DC5826">
              <w:rPr>
                <w:rFonts w:ascii="Arial" w:hAnsi="Arial" w:cs="Arial"/>
                <w:sz w:val="44"/>
                <w:szCs w:val="44"/>
              </w:rPr>
              <w:t>Taxation and Accounting Major</w:t>
            </w:r>
          </w:p>
        </w:tc>
      </w:tr>
    </w:tbl>
    <w:p w14:paraId="4505EDEB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0F853321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04073BE7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2491C843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07BC86CA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668B9BB1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14E0CADE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0ED359E7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5D2CAFAF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165CB254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7D320D9D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04413CB8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55C31BE9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391294E8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18E76B44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010AC129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C5826">
        <w:rPr>
          <w:rFonts w:ascii="Arial Narrow" w:hAnsi="Arial Narrow" w:cs="Arial"/>
          <w:b/>
          <w:bCs/>
          <w:sz w:val="20"/>
          <w:szCs w:val="20"/>
        </w:rPr>
        <w:t xml:space="preserve">Taxation and Accounting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14A0F0E1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643021" w:rsidRPr="00E27E89" w14:paraId="13A0691A" w14:textId="77777777" w:rsidTr="006D1364">
        <w:trPr>
          <w:gridAfter w:val="4"/>
          <w:wAfter w:w="3584" w:type="dxa"/>
          <w:trHeight w:val="1185"/>
        </w:trPr>
        <w:tc>
          <w:tcPr>
            <w:tcW w:w="895" w:type="dxa"/>
            <w:vAlign w:val="center"/>
          </w:tcPr>
          <w:p w14:paraId="7D4596F1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71BC9186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6A27AE8C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F602E38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3</w:t>
            </w:r>
            <w:r>
              <w:rPr>
                <w:rFonts w:ascii="Arial Narrow" w:hAnsi="Arial Narrow" w:cs="Arial"/>
                <w:sz w:val="22"/>
                <w:szCs w:val="22"/>
              </w:rPr>
              <w:t>58</w:t>
            </w:r>
          </w:p>
          <w:p w14:paraId="77D9C965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9102A97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3</w:t>
            </w:r>
            <w:r>
              <w:rPr>
                <w:rFonts w:ascii="Arial Narrow" w:hAnsi="Arial Narrow" w:cs="Arial"/>
                <w:sz w:val="22"/>
                <w:szCs w:val="22"/>
              </w:rPr>
              <w:t>59</w:t>
            </w:r>
          </w:p>
          <w:p w14:paraId="7C3EC947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FBCB4B0" w14:textId="77777777" w:rsidR="00643021" w:rsidRPr="00D75E64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556C7C35" w14:textId="77777777" w:rsidR="00643021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DE5E6E7" w14:textId="77777777" w:rsidR="00643021" w:rsidRPr="00D75E64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7D80A1B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76086DA5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C6349DA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8151439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6BB5BB5A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E15412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63116E" w14:textId="77777777" w:rsidR="00643021" w:rsidRPr="00E27E89" w:rsidRDefault="00643021" w:rsidP="0064302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2D49990B" w14:textId="77777777" w:rsidTr="006D1364">
        <w:trPr>
          <w:trHeight w:val="1185"/>
        </w:trPr>
        <w:tc>
          <w:tcPr>
            <w:tcW w:w="895" w:type="dxa"/>
            <w:vAlign w:val="center"/>
          </w:tcPr>
          <w:p w14:paraId="0BECD08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1707B85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E377C0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19F037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5C55F3E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879E949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27F77A9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5C271AB2" w14:textId="77777777" w:rsidR="009C0DC1" w:rsidRPr="00E27E89" w:rsidRDefault="008A4EA5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337F3B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211</w:t>
            </w:r>
            <w:r w:rsidR="0053306E">
              <w:rPr>
                <w:rFonts w:ascii="Arial Narrow" w:hAnsi="Arial Narrow" w:cs="Arial"/>
                <w:sz w:val="22"/>
                <w:szCs w:val="22"/>
              </w:rPr>
              <w:t xml:space="preserve"> or 222</w:t>
            </w:r>
          </w:p>
          <w:p w14:paraId="748D46C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AE26E2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</w:t>
            </w:r>
            <w:r w:rsidR="0053306E">
              <w:rPr>
                <w:rFonts w:ascii="Arial Narrow" w:hAnsi="Arial Narrow" w:cs="Arial"/>
                <w:sz w:val="22"/>
                <w:szCs w:val="22"/>
              </w:rPr>
              <w:t>54</w:t>
            </w:r>
          </w:p>
          <w:p w14:paraId="0BA8D13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666F1F5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12502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9ACD0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72B94B7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918CC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D2285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6C63B74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87BE94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B2113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E4AD6C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81D5BF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95CFE6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F9769D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C4231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82F5DB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C1EBDE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69387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A8016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68DD67CF" w14:textId="77777777" w:rsidTr="006D1364">
        <w:trPr>
          <w:gridAfter w:val="1"/>
          <w:wAfter w:w="896" w:type="dxa"/>
          <w:trHeight w:val="1185"/>
        </w:trPr>
        <w:tc>
          <w:tcPr>
            <w:tcW w:w="895" w:type="dxa"/>
            <w:vAlign w:val="center"/>
          </w:tcPr>
          <w:p w14:paraId="7B80F45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1D299F8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60DA625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4FBDBC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3D2B4D4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13FF9B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4E5C2E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161C45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5EB5DAC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195EAD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6F5F13F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2D8CFC9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14C2EB6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14CE5B6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103</w:t>
            </w:r>
          </w:p>
          <w:p w14:paraId="4B95A86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76B6345" w14:textId="77777777" w:rsidR="009C0DC1" w:rsidRPr="004E6B57" w:rsidRDefault="004E6B57" w:rsidP="009C0D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6B57">
              <w:rPr>
                <w:rFonts w:ascii="Arial Narrow" w:hAnsi="Arial Narrow" w:cs="Arial"/>
                <w:sz w:val="20"/>
                <w:szCs w:val="20"/>
              </w:rPr>
              <w:t>ACCT 15</w:t>
            </w:r>
            <w:r w:rsidR="00C255E4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4E6B57">
              <w:rPr>
                <w:rFonts w:ascii="Arial Narrow" w:hAnsi="Arial Narrow" w:cs="Arial"/>
                <w:sz w:val="20"/>
                <w:szCs w:val="20"/>
              </w:rPr>
              <w:t xml:space="preserve"> or LAWS 101</w:t>
            </w:r>
          </w:p>
          <w:p w14:paraId="7DCC29B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C68BDD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48178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DBC87B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4B03FE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8FECB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477F42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10E45787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1CB4850C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22FE9C07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6BC6E36B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24B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23D63548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2E44EB" w:rsidRPr="002E44EB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1588EC76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80F7F06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0E4C9B07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40E43832" w14:textId="718D5AA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DC58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Taxation and Accounting Major </w:t>
            </w:r>
          </w:p>
        </w:tc>
      </w:tr>
      <w:tr w:rsidR="00EC63BB" w:rsidRPr="00976F5C" w14:paraId="1D707421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C3F" w14:textId="0233B54D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DC5826">
              <w:rPr>
                <w:rFonts w:ascii="Arial Narrow" w:hAnsi="Arial Narrow"/>
                <w:sz w:val="16"/>
                <w:szCs w:val="16"/>
              </w:rPr>
              <w:t xml:space="preserve">Taxation and Accounting 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must be credited with the following: </w:t>
            </w:r>
          </w:p>
          <w:p w14:paraId="66B6A945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ACCT103 </w:t>
            </w:r>
            <w:r w:rsidR="0053306E">
              <w:rPr>
                <w:rFonts w:ascii="Arial Narrow" w:hAnsi="Arial Narrow"/>
                <w:sz w:val="16"/>
                <w:szCs w:val="16"/>
              </w:rPr>
              <w:t xml:space="preserve">and </w:t>
            </w:r>
            <w:r w:rsidR="00487B33">
              <w:rPr>
                <w:rFonts w:ascii="Arial Narrow" w:hAnsi="Arial Narrow"/>
                <w:sz w:val="16"/>
                <w:szCs w:val="16"/>
              </w:rPr>
              <w:t>(</w:t>
            </w:r>
            <w:r w:rsidR="0053306E">
              <w:rPr>
                <w:rFonts w:ascii="Arial Narrow" w:hAnsi="Arial Narrow"/>
                <w:sz w:val="16"/>
                <w:szCs w:val="16"/>
              </w:rPr>
              <w:t>ACCT15</w:t>
            </w:r>
            <w:r w:rsidR="00134CAC">
              <w:rPr>
                <w:rFonts w:ascii="Arial Narrow" w:hAnsi="Arial Narrow"/>
                <w:sz w:val="16"/>
                <w:szCs w:val="16"/>
              </w:rPr>
              <w:t>6</w:t>
            </w:r>
            <w:r w:rsidR="0053306E">
              <w:rPr>
                <w:rFonts w:ascii="Arial Narrow" w:hAnsi="Arial Narrow"/>
                <w:sz w:val="16"/>
                <w:szCs w:val="16"/>
              </w:rPr>
              <w:t xml:space="preserve"> or LAWS101</w:t>
            </w:r>
            <w:r w:rsidR="00487B33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0888BAD9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ACCT211 </w:t>
            </w:r>
            <w:r w:rsidR="0053306E">
              <w:rPr>
                <w:rFonts w:ascii="Arial Narrow" w:hAnsi="Arial Narrow"/>
                <w:sz w:val="16"/>
                <w:szCs w:val="16"/>
              </w:rPr>
              <w:t>or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ACCT222</w:t>
            </w:r>
            <w:r w:rsidR="0053306E">
              <w:rPr>
                <w:rFonts w:ascii="Arial Narrow" w:hAnsi="Arial Narrow"/>
                <w:sz w:val="16"/>
                <w:szCs w:val="16"/>
              </w:rPr>
              <w:t>;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3306E">
              <w:rPr>
                <w:rFonts w:ascii="Arial Narrow" w:hAnsi="Arial Narrow"/>
                <w:sz w:val="16"/>
                <w:szCs w:val="16"/>
              </w:rPr>
              <w:t>and ACCT254</w:t>
            </w:r>
          </w:p>
          <w:p w14:paraId="0074D733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53306E" w:rsidRPr="00976F5C">
              <w:rPr>
                <w:rFonts w:ascii="Arial Narrow" w:hAnsi="Arial Narrow"/>
                <w:sz w:val="16"/>
                <w:szCs w:val="16"/>
              </w:rPr>
              <w:t xml:space="preserve"> ACCT358 and ACCT359</w:t>
            </w:r>
            <w:r w:rsidR="0053306E">
              <w:rPr>
                <w:rFonts w:ascii="Arial Narrow" w:hAnsi="Arial Narrow"/>
                <w:sz w:val="16"/>
                <w:szCs w:val="16"/>
              </w:rPr>
              <w:t xml:space="preserve">; </w:t>
            </w:r>
            <w:r w:rsidR="00134CAC" w:rsidRPr="00134CAC">
              <w:rPr>
                <w:rFonts w:ascii="Arial Narrow" w:hAnsi="Arial Narrow"/>
                <w:sz w:val="16"/>
                <w:szCs w:val="16"/>
              </w:rPr>
              <w:t>and at least 30 points from other 300 level ACCT courses</w:t>
            </w:r>
          </w:p>
        </w:tc>
      </w:tr>
      <w:tr w:rsidR="00FC25E2" w:rsidRPr="00976F5C" w14:paraId="40E5D585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7E23DD1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62AE2633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4C3D31D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90180E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6612A0E6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DFC609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BBAC02F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73B3972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970CEA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566B9F38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79C80081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A746FF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6BD0" w14:textId="77777777" w:rsidR="00E653C2" w:rsidRDefault="00E653C2">
      <w:r>
        <w:separator/>
      </w:r>
    </w:p>
  </w:endnote>
  <w:endnote w:type="continuationSeparator" w:id="0">
    <w:p w14:paraId="7FFAD6F4" w14:textId="77777777" w:rsidR="00E653C2" w:rsidRDefault="00E6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2EA0" w14:textId="77777777" w:rsidR="00FB010E" w:rsidRDefault="00FB0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D14B" w14:textId="77777777" w:rsidR="00FB010E" w:rsidRDefault="00FB0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C557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 w:rsidRPr="001D069F">
      <w:rPr>
        <w:rFonts w:ascii="Arial" w:hAnsi="Arial" w:cs="Arial"/>
        <w:sz w:val="14"/>
        <w:szCs w:val="18"/>
      </w:rPr>
      <w:fldChar w:fldCharType="separate"/>
    </w:r>
    <w:r w:rsidR="002177E3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2025\BCom_Taxation&amp;Accounting_2025.doc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74D7" w14:textId="77777777" w:rsidR="00E653C2" w:rsidRDefault="00E653C2">
      <w:r>
        <w:separator/>
      </w:r>
    </w:p>
  </w:footnote>
  <w:footnote w:type="continuationSeparator" w:id="0">
    <w:p w14:paraId="5D1606A3" w14:textId="77777777" w:rsidR="00E653C2" w:rsidRDefault="00E6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2902" w14:textId="77777777" w:rsidR="00386369" w:rsidRDefault="00A72F3A">
    <w:pPr>
      <w:pStyle w:val="Header"/>
    </w:pPr>
    <w:r>
      <w:rPr>
        <w:noProof/>
      </w:rPr>
      <w:pict w14:anchorId="5947F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39E49E0D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0722532">
    <w:abstractNumId w:val="2"/>
  </w:num>
  <w:num w:numId="2" w16cid:durableId="1283347783">
    <w:abstractNumId w:val="10"/>
  </w:num>
  <w:num w:numId="3" w16cid:durableId="1054624852">
    <w:abstractNumId w:val="6"/>
  </w:num>
  <w:num w:numId="4" w16cid:durableId="1719279528">
    <w:abstractNumId w:val="11"/>
  </w:num>
  <w:num w:numId="5" w16cid:durableId="416485486">
    <w:abstractNumId w:val="0"/>
  </w:num>
  <w:num w:numId="6" w16cid:durableId="2004233704">
    <w:abstractNumId w:val="8"/>
  </w:num>
  <w:num w:numId="7" w16cid:durableId="1332758976">
    <w:abstractNumId w:val="7"/>
  </w:num>
  <w:num w:numId="8" w16cid:durableId="561477643">
    <w:abstractNumId w:val="3"/>
  </w:num>
  <w:num w:numId="9" w16cid:durableId="328603856">
    <w:abstractNumId w:val="1"/>
  </w:num>
  <w:num w:numId="10" w16cid:durableId="347030144">
    <w:abstractNumId w:val="9"/>
  </w:num>
  <w:num w:numId="11" w16cid:durableId="1764109170">
    <w:abstractNumId w:val="4"/>
  </w:num>
  <w:num w:numId="12" w16cid:durableId="210017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922A2"/>
    <w:rsid w:val="000A04EF"/>
    <w:rsid w:val="000A0FCF"/>
    <w:rsid w:val="000A12DE"/>
    <w:rsid w:val="000B27A4"/>
    <w:rsid w:val="000B4BE3"/>
    <w:rsid w:val="000C1DD9"/>
    <w:rsid w:val="000D5A33"/>
    <w:rsid w:val="000D7269"/>
    <w:rsid w:val="000E073B"/>
    <w:rsid w:val="001063EB"/>
    <w:rsid w:val="00112792"/>
    <w:rsid w:val="00134CAC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15FDC"/>
    <w:rsid w:val="002177E3"/>
    <w:rsid w:val="00224B96"/>
    <w:rsid w:val="00245415"/>
    <w:rsid w:val="0025568A"/>
    <w:rsid w:val="002625F5"/>
    <w:rsid w:val="00262C56"/>
    <w:rsid w:val="0026301A"/>
    <w:rsid w:val="00275839"/>
    <w:rsid w:val="002766C7"/>
    <w:rsid w:val="00281683"/>
    <w:rsid w:val="00281F74"/>
    <w:rsid w:val="00282D8F"/>
    <w:rsid w:val="002977C0"/>
    <w:rsid w:val="002C5B57"/>
    <w:rsid w:val="002D0FDD"/>
    <w:rsid w:val="002E44EB"/>
    <w:rsid w:val="0031699D"/>
    <w:rsid w:val="003219F4"/>
    <w:rsid w:val="00325FEC"/>
    <w:rsid w:val="00330B1D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D5CD6"/>
    <w:rsid w:val="003E67DC"/>
    <w:rsid w:val="003F0E01"/>
    <w:rsid w:val="00404472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87B33"/>
    <w:rsid w:val="004920D6"/>
    <w:rsid w:val="00497722"/>
    <w:rsid w:val="004D2F6A"/>
    <w:rsid w:val="004D4A78"/>
    <w:rsid w:val="004E5C0C"/>
    <w:rsid w:val="004E6B57"/>
    <w:rsid w:val="004F146A"/>
    <w:rsid w:val="005016E9"/>
    <w:rsid w:val="005230A3"/>
    <w:rsid w:val="00526D04"/>
    <w:rsid w:val="00533069"/>
    <w:rsid w:val="0053306E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43021"/>
    <w:rsid w:val="00651ACA"/>
    <w:rsid w:val="00652973"/>
    <w:rsid w:val="0066089F"/>
    <w:rsid w:val="0067067A"/>
    <w:rsid w:val="00693665"/>
    <w:rsid w:val="006D1364"/>
    <w:rsid w:val="006E46CF"/>
    <w:rsid w:val="006E48A2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6C60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0180E"/>
    <w:rsid w:val="00902B3F"/>
    <w:rsid w:val="00917C77"/>
    <w:rsid w:val="00921FE0"/>
    <w:rsid w:val="00926BE8"/>
    <w:rsid w:val="0093585E"/>
    <w:rsid w:val="009375A6"/>
    <w:rsid w:val="00943DCB"/>
    <w:rsid w:val="009601B3"/>
    <w:rsid w:val="00960B88"/>
    <w:rsid w:val="00962FA4"/>
    <w:rsid w:val="00970CEA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12013"/>
    <w:rsid w:val="00A30236"/>
    <w:rsid w:val="00A6184D"/>
    <w:rsid w:val="00A65A7F"/>
    <w:rsid w:val="00A72F3A"/>
    <w:rsid w:val="00A746FF"/>
    <w:rsid w:val="00A80779"/>
    <w:rsid w:val="00A845D8"/>
    <w:rsid w:val="00AB264C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75943"/>
    <w:rsid w:val="00B9561B"/>
    <w:rsid w:val="00BB3BD8"/>
    <w:rsid w:val="00BC1E5F"/>
    <w:rsid w:val="00BE2DDA"/>
    <w:rsid w:val="00C005E7"/>
    <w:rsid w:val="00C16C9C"/>
    <w:rsid w:val="00C17797"/>
    <w:rsid w:val="00C2063E"/>
    <w:rsid w:val="00C21AF3"/>
    <w:rsid w:val="00C255E4"/>
    <w:rsid w:val="00C445F6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1387"/>
    <w:rsid w:val="00D339E4"/>
    <w:rsid w:val="00D50E81"/>
    <w:rsid w:val="00D5416E"/>
    <w:rsid w:val="00D67416"/>
    <w:rsid w:val="00D70E5E"/>
    <w:rsid w:val="00D74AFA"/>
    <w:rsid w:val="00D75E97"/>
    <w:rsid w:val="00D9116C"/>
    <w:rsid w:val="00DB45FA"/>
    <w:rsid w:val="00DC5826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7E89"/>
    <w:rsid w:val="00E427DE"/>
    <w:rsid w:val="00E5319F"/>
    <w:rsid w:val="00E60F03"/>
    <w:rsid w:val="00E629B5"/>
    <w:rsid w:val="00E653C2"/>
    <w:rsid w:val="00E6695E"/>
    <w:rsid w:val="00E669BD"/>
    <w:rsid w:val="00E75034"/>
    <w:rsid w:val="00E75D66"/>
    <w:rsid w:val="00E809BD"/>
    <w:rsid w:val="00E909BD"/>
    <w:rsid w:val="00EA1B4F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010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019C2"/>
  <w15:chartTrackingRefBased/>
  <w15:docId w15:val="{642E3131-447B-417C-BC27-6A843C95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AFA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2841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Kirsten Smith</cp:lastModifiedBy>
  <cp:revision>4</cp:revision>
  <cp:lastPrinted>2025-06-19T01:39:00Z</cp:lastPrinted>
  <dcterms:created xsi:type="dcterms:W3CDTF">2025-09-01T22:32:00Z</dcterms:created>
  <dcterms:modified xsi:type="dcterms:W3CDTF">2025-09-18T00:59:00Z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2025-09-18T00:59:38Z</vt:lpwstr>
  </property>
  <property fmtid="{D5CDD505-2E9C-101B-9397-08002B2CF9AE}" pid="4" name="MSIP_Label_d2b2326c-f811-4ccc-abcb-1b955c303c2e_Method">
    <vt:lpwstr>Standard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e57cf29a-277a-4801-92e1-bfa2826d2e30</vt:lpwstr>
  </property>
  <property fmtid="{D5CDD505-2E9C-101B-9397-08002B2CF9AE}" pid="8" name="MSIP_Label_d2b2326c-f811-4ccc-abcb-1b955c303c2e_ContentBits">
    <vt:lpwstr>2</vt:lpwstr>
  </property>
  <property fmtid="{D5CDD505-2E9C-101B-9397-08002B2CF9AE}" pid="9" name="MSIP_Label_d2b2326c-f811-4ccc-abcb-1b955c303c2e_Tag">
    <vt:lpwstr>10, 3, 0, 1</vt:lpwstr>
  </property>
</Properties>
</file>